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596" w:rsidRPr="00DB1370" w:rsidRDefault="00164596" w:rsidP="004A2272">
      <w:pPr>
        <w:widowControl w:val="0"/>
        <w:kinsoku w:val="0"/>
        <w:overflowPunct w:val="0"/>
        <w:spacing w:after="0" w:line="240" w:lineRule="auto"/>
        <w:jc w:val="center"/>
        <w:textAlignment w:val="baseline"/>
        <w:rPr>
          <w:b/>
          <w:bCs/>
          <w:kern w:val="0"/>
          <w:sz w:val="22"/>
          <w:szCs w:val="22"/>
        </w:rPr>
      </w:pPr>
      <w:r w:rsidRPr="00DB1370">
        <w:rPr>
          <w:b/>
          <w:bCs/>
          <w:kern w:val="0"/>
          <w:sz w:val="22"/>
          <w:szCs w:val="22"/>
        </w:rPr>
        <w:t>HERRICK TOWNSHIP BOARD OF SUPERVISORS</w:t>
      </w:r>
      <w:r w:rsidRPr="00DB1370">
        <w:rPr>
          <w:b/>
          <w:kern w:val="0"/>
          <w:sz w:val="22"/>
          <w:szCs w:val="22"/>
        </w:rPr>
        <w:br/>
      </w:r>
      <w:r w:rsidRPr="00DB1370">
        <w:rPr>
          <w:b/>
          <w:bCs/>
          <w:kern w:val="0"/>
          <w:sz w:val="22"/>
          <w:szCs w:val="22"/>
        </w:rPr>
        <w:t>ZONING FEE SCHEDULE</w:t>
      </w:r>
    </w:p>
    <w:p w:rsidR="00164596" w:rsidRPr="00DB1370" w:rsidRDefault="00164596" w:rsidP="004A2272">
      <w:pPr>
        <w:widowControl w:val="0"/>
        <w:kinsoku w:val="0"/>
        <w:overflowPunct w:val="0"/>
        <w:spacing w:after="0" w:line="240" w:lineRule="auto"/>
        <w:jc w:val="center"/>
        <w:textAlignment w:val="baseline"/>
        <w:rPr>
          <w:kern w:val="0"/>
          <w:sz w:val="22"/>
          <w:szCs w:val="22"/>
        </w:rPr>
      </w:pPr>
    </w:p>
    <w:p w:rsidR="00164596" w:rsidRPr="00DB1370" w:rsidRDefault="00164596" w:rsidP="00FD3AAB">
      <w:pPr>
        <w:widowControl w:val="0"/>
        <w:kinsoku w:val="0"/>
        <w:overflowPunct w:val="0"/>
        <w:spacing w:after="0" w:line="240" w:lineRule="auto"/>
        <w:jc w:val="both"/>
        <w:textAlignment w:val="baseline"/>
        <w:rPr>
          <w:spacing w:val="-12"/>
          <w:kern w:val="0"/>
          <w:sz w:val="22"/>
          <w:szCs w:val="22"/>
        </w:rPr>
      </w:pPr>
      <w:r w:rsidRPr="00DB1370">
        <w:rPr>
          <w:b/>
          <w:bCs/>
          <w:spacing w:val="-12"/>
          <w:kern w:val="0"/>
          <w:sz w:val="22"/>
          <w:szCs w:val="22"/>
        </w:rPr>
        <w:t>WHEREAS</w:t>
      </w:r>
      <w:r w:rsidRPr="00DB1370">
        <w:rPr>
          <w:spacing w:val="-12"/>
          <w:kern w:val="0"/>
          <w:sz w:val="22"/>
          <w:szCs w:val="22"/>
        </w:rPr>
        <w:t>, Herrick Township has adopted a Zoning Ordinance; and</w:t>
      </w:r>
    </w:p>
    <w:p w:rsidR="00164596" w:rsidRPr="00DB1370" w:rsidRDefault="00164596" w:rsidP="00FD3AAB">
      <w:pPr>
        <w:widowControl w:val="0"/>
        <w:kinsoku w:val="0"/>
        <w:overflowPunct w:val="0"/>
        <w:spacing w:after="0" w:line="240" w:lineRule="auto"/>
        <w:jc w:val="both"/>
        <w:textAlignment w:val="baseline"/>
        <w:rPr>
          <w:spacing w:val="-13"/>
          <w:kern w:val="0"/>
          <w:sz w:val="22"/>
          <w:szCs w:val="22"/>
        </w:rPr>
      </w:pPr>
      <w:r w:rsidRPr="00DB1370">
        <w:rPr>
          <w:b/>
          <w:bCs/>
          <w:spacing w:val="-11"/>
          <w:kern w:val="0"/>
          <w:sz w:val="22"/>
          <w:szCs w:val="22"/>
        </w:rPr>
        <w:t>WHEREAS,</w:t>
      </w:r>
      <w:r w:rsidRPr="00DB1370">
        <w:rPr>
          <w:spacing w:val="-11"/>
          <w:kern w:val="0"/>
          <w:sz w:val="22"/>
          <w:szCs w:val="22"/>
        </w:rPr>
        <w:t xml:space="preserve"> said Ordinance provides authority for the Board of Supervisors to set fees for the permits associated</w:t>
      </w:r>
      <w:r w:rsidRPr="00DB1370">
        <w:rPr>
          <w:spacing w:val="-13"/>
          <w:kern w:val="0"/>
          <w:sz w:val="22"/>
          <w:szCs w:val="22"/>
        </w:rPr>
        <w:t xml:space="preserve"> therewith;</w:t>
      </w:r>
    </w:p>
    <w:p w:rsidR="00164596" w:rsidRPr="00DB1370" w:rsidRDefault="00164596" w:rsidP="00FD3AAB">
      <w:pPr>
        <w:widowControl w:val="0"/>
        <w:kinsoku w:val="0"/>
        <w:overflowPunct w:val="0"/>
        <w:spacing w:after="0" w:line="240" w:lineRule="auto"/>
        <w:jc w:val="both"/>
        <w:textAlignment w:val="baseline"/>
        <w:rPr>
          <w:spacing w:val="-12"/>
          <w:kern w:val="0"/>
          <w:sz w:val="22"/>
          <w:szCs w:val="22"/>
        </w:rPr>
      </w:pPr>
      <w:r w:rsidRPr="00DB1370">
        <w:rPr>
          <w:b/>
          <w:bCs/>
          <w:spacing w:val="-12"/>
          <w:kern w:val="0"/>
          <w:sz w:val="22"/>
          <w:szCs w:val="22"/>
        </w:rPr>
        <w:t>THEREFORE BE IT RESOLVED,</w:t>
      </w:r>
      <w:r w:rsidRPr="00DB1370">
        <w:rPr>
          <w:spacing w:val="-12"/>
          <w:kern w:val="0"/>
          <w:sz w:val="22"/>
          <w:szCs w:val="22"/>
        </w:rPr>
        <w:t xml:space="preserve"> that the following fees shall apply to the various permits required by the aforementioned Ordinance, as amended this day:</w:t>
      </w:r>
    </w:p>
    <w:p w:rsidR="00164596" w:rsidRPr="00DB1370" w:rsidRDefault="00164596" w:rsidP="004A2272">
      <w:pPr>
        <w:widowControl w:val="0"/>
        <w:kinsoku w:val="0"/>
        <w:overflowPunct w:val="0"/>
        <w:spacing w:after="0" w:line="240" w:lineRule="auto"/>
        <w:textAlignment w:val="baseline"/>
        <w:rPr>
          <w:spacing w:val="-12"/>
          <w:kern w:val="0"/>
          <w:sz w:val="22"/>
          <w:szCs w:val="22"/>
        </w:rPr>
      </w:pPr>
    </w:p>
    <w:tbl>
      <w:tblPr>
        <w:tblW w:w="9598" w:type="dxa"/>
        <w:jc w:val="center"/>
        <w:tblLook w:val="00A0"/>
      </w:tblPr>
      <w:tblGrid>
        <w:gridCol w:w="5130"/>
        <w:gridCol w:w="2250"/>
        <w:gridCol w:w="951"/>
        <w:gridCol w:w="1394"/>
      </w:tblGrid>
      <w:tr w:rsidR="00164596" w:rsidRPr="004F5426" w:rsidTr="001852BE">
        <w:trPr>
          <w:trHeight w:val="315"/>
          <w:jc w:val="center"/>
        </w:trPr>
        <w:tc>
          <w:tcPr>
            <w:tcW w:w="5130" w:type="dxa"/>
            <w:noWrap/>
          </w:tcPr>
          <w:p w:rsidR="00164596" w:rsidRPr="004F5426" w:rsidRDefault="00164596" w:rsidP="004A2272">
            <w:pPr>
              <w:spacing w:after="0" w:line="240" w:lineRule="auto"/>
              <w:rPr>
                <w:b/>
                <w:bCs/>
                <w:color w:val="000000"/>
                <w:kern w:val="0"/>
                <w:sz w:val="22"/>
                <w:szCs w:val="22"/>
                <w:u w:val="single"/>
              </w:rPr>
            </w:pPr>
            <w:r w:rsidRPr="004F5426">
              <w:rPr>
                <w:b/>
                <w:bCs/>
                <w:color w:val="000000"/>
                <w:kern w:val="0"/>
                <w:sz w:val="22"/>
                <w:szCs w:val="22"/>
                <w:u w:val="single"/>
              </w:rPr>
              <w:t>PERMITTED USES:</w:t>
            </w:r>
          </w:p>
        </w:tc>
        <w:tc>
          <w:tcPr>
            <w:tcW w:w="2250" w:type="dxa"/>
            <w:noWrap/>
          </w:tcPr>
          <w:p w:rsidR="00164596" w:rsidRPr="004F5426" w:rsidRDefault="00164596" w:rsidP="004A2272">
            <w:pPr>
              <w:spacing w:after="0" w:line="240" w:lineRule="auto"/>
              <w:rPr>
                <w:color w:val="000000"/>
                <w:kern w:val="0"/>
                <w:sz w:val="22"/>
                <w:szCs w:val="22"/>
                <w:u w:val="single"/>
              </w:rPr>
            </w:pPr>
            <w:r w:rsidRPr="004F5426">
              <w:rPr>
                <w:color w:val="000000"/>
                <w:kern w:val="0"/>
                <w:sz w:val="22"/>
                <w:szCs w:val="22"/>
                <w:u w:val="single"/>
              </w:rPr>
              <w:t xml:space="preserve">FEE </w:t>
            </w:r>
          </w:p>
        </w:tc>
        <w:tc>
          <w:tcPr>
            <w:tcW w:w="824" w:type="dxa"/>
            <w:noWrap/>
          </w:tcPr>
          <w:p w:rsidR="00164596" w:rsidRPr="004F5426" w:rsidRDefault="00164596" w:rsidP="004A2272">
            <w:pPr>
              <w:spacing w:after="0" w:line="240" w:lineRule="auto"/>
              <w:jc w:val="center"/>
              <w:rPr>
                <w:color w:val="000000"/>
                <w:kern w:val="0"/>
                <w:sz w:val="22"/>
                <w:szCs w:val="22"/>
                <w:u w:val="single"/>
              </w:rPr>
            </w:pPr>
            <w:r w:rsidRPr="004F5426">
              <w:rPr>
                <w:color w:val="000000"/>
                <w:kern w:val="0"/>
                <w:sz w:val="22"/>
                <w:szCs w:val="22"/>
                <w:u w:val="single"/>
              </w:rPr>
              <w:t>#</w:t>
            </w:r>
          </w:p>
        </w:tc>
        <w:tc>
          <w:tcPr>
            <w:tcW w:w="1394" w:type="dxa"/>
            <w:noWrap/>
          </w:tcPr>
          <w:p w:rsidR="00164596" w:rsidRPr="004F5426" w:rsidRDefault="00164596" w:rsidP="004A2272">
            <w:pPr>
              <w:spacing w:after="0" w:line="240" w:lineRule="auto"/>
              <w:rPr>
                <w:color w:val="000000"/>
                <w:kern w:val="0"/>
                <w:sz w:val="22"/>
                <w:szCs w:val="22"/>
                <w:u w:val="single"/>
              </w:rPr>
            </w:pPr>
            <w:r w:rsidRPr="004F5426">
              <w:rPr>
                <w:color w:val="000000"/>
                <w:kern w:val="0"/>
                <w:sz w:val="22"/>
                <w:szCs w:val="22"/>
                <w:u w:val="single"/>
              </w:rPr>
              <w:t>AMOUNT</w:t>
            </w:r>
          </w:p>
        </w:tc>
      </w:tr>
      <w:tr w:rsidR="00164596" w:rsidRPr="004F5426" w:rsidTr="001852BE">
        <w:trPr>
          <w:trHeight w:val="315"/>
          <w:jc w:val="center"/>
        </w:trPr>
        <w:tc>
          <w:tcPr>
            <w:tcW w:w="5130" w:type="dxa"/>
            <w:noWrap/>
          </w:tcPr>
          <w:p w:rsidR="00164596" w:rsidRPr="004F5426" w:rsidRDefault="00164596" w:rsidP="004A2272">
            <w:pPr>
              <w:spacing w:after="0" w:line="240" w:lineRule="auto"/>
              <w:rPr>
                <w:b/>
                <w:bCs/>
                <w:color w:val="000000"/>
                <w:kern w:val="0"/>
                <w:sz w:val="22"/>
                <w:szCs w:val="22"/>
                <w:u w:val="single"/>
              </w:rPr>
            </w:pPr>
          </w:p>
        </w:tc>
        <w:tc>
          <w:tcPr>
            <w:tcW w:w="2250" w:type="dxa"/>
            <w:noWrap/>
          </w:tcPr>
          <w:p w:rsidR="00164596" w:rsidRPr="004F5426" w:rsidRDefault="00164596" w:rsidP="004A2272">
            <w:pPr>
              <w:spacing w:after="0" w:line="240" w:lineRule="auto"/>
              <w:rPr>
                <w:color w:val="000000"/>
                <w:kern w:val="0"/>
                <w:sz w:val="22"/>
                <w:szCs w:val="22"/>
                <w:u w:val="single"/>
              </w:rPr>
            </w:pPr>
          </w:p>
        </w:tc>
        <w:tc>
          <w:tcPr>
            <w:tcW w:w="824" w:type="dxa"/>
            <w:noWrap/>
          </w:tcPr>
          <w:p w:rsidR="00164596" w:rsidRPr="004F5426" w:rsidRDefault="00164596" w:rsidP="004A2272">
            <w:pPr>
              <w:spacing w:after="0" w:line="240" w:lineRule="auto"/>
              <w:jc w:val="center"/>
              <w:rPr>
                <w:color w:val="000000"/>
                <w:kern w:val="0"/>
                <w:sz w:val="22"/>
                <w:szCs w:val="22"/>
                <w:u w:val="single"/>
              </w:rPr>
            </w:pPr>
          </w:p>
        </w:tc>
        <w:tc>
          <w:tcPr>
            <w:tcW w:w="1394" w:type="dxa"/>
            <w:noWrap/>
          </w:tcPr>
          <w:p w:rsidR="00164596" w:rsidRPr="004F5426" w:rsidRDefault="00164596" w:rsidP="004A2272">
            <w:pPr>
              <w:spacing w:after="0" w:line="240" w:lineRule="auto"/>
              <w:rPr>
                <w:color w:val="000000"/>
                <w:kern w:val="0"/>
                <w:sz w:val="22"/>
                <w:szCs w:val="22"/>
                <w:u w:val="single"/>
              </w:rPr>
            </w:pPr>
          </w:p>
        </w:tc>
      </w:tr>
      <w:tr w:rsidR="00164596" w:rsidRPr="004F5426" w:rsidTr="001852BE">
        <w:trPr>
          <w:trHeight w:val="300"/>
          <w:jc w:val="center"/>
        </w:trPr>
        <w:tc>
          <w:tcPr>
            <w:tcW w:w="5130" w:type="dxa"/>
            <w:noWrap/>
          </w:tcPr>
          <w:p w:rsidR="00164596" w:rsidRPr="004F5426" w:rsidRDefault="00164596" w:rsidP="004A2272">
            <w:pPr>
              <w:spacing w:after="0" w:line="240" w:lineRule="auto"/>
              <w:rPr>
                <w:b/>
                <w:bCs/>
                <w:color w:val="000000"/>
                <w:kern w:val="0"/>
                <w:sz w:val="22"/>
                <w:szCs w:val="22"/>
              </w:rPr>
            </w:pPr>
            <w:r w:rsidRPr="004F5426">
              <w:rPr>
                <w:b/>
                <w:bCs/>
                <w:color w:val="000000"/>
                <w:kern w:val="0"/>
                <w:sz w:val="22"/>
                <w:szCs w:val="22"/>
              </w:rPr>
              <w:t>PRIMARY STRUCTURES</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 xml:space="preserve">$150.00     </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00"/>
          <w:jc w:val="center"/>
        </w:trPr>
        <w:tc>
          <w:tcPr>
            <w:tcW w:w="5130"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Each Accessory applied for with the primary</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 xml:space="preserve">$20.00 </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00"/>
          <w:jc w:val="center"/>
        </w:trPr>
        <w:tc>
          <w:tcPr>
            <w:tcW w:w="5130" w:type="dxa"/>
            <w:noWrap/>
          </w:tcPr>
          <w:p w:rsidR="00164596" w:rsidRPr="004F5426" w:rsidRDefault="00164596" w:rsidP="004A2272">
            <w:pPr>
              <w:spacing w:after="0" w:line="240" w:lineRule="auto"/>
              <w:rPr>
                <w:b/>
                <w:bCs/>
                <w:color w:val="000000"/>
                <w:kern w:val="0"/>
                <w:sz w:val="22"/>
                <w:szCs w:val="22"/>
              </w:rPr>
            </w:pPr>
            <w:r w:rsidRPr="004F5426">
              <w:rPr>
                <w:b/>
                <w:bCs/>
                <w:color w:val="000000"/>
                <w:kern w:val="0"/>
                <w:sz w:val="22"/>
                <w:szCs w:val="22"/>
              </w:rPr>
              <w:t>ADDITIONS &amp; ALTERATIONS</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 xml:space="preserve">$50.00 </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00"/>
          <w:jc w:val="center"/>
        </w:trPr>
        <w:tc>
          <w:tcPr>
            <w:tcW w:w="5130"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Each Accessory applied for with additions/alterations</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 xml:space="preserve">$20.00 </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15"/>
          <w:jc w:val="center"/>
        </w:trPr>
        <w:tc>
          <w:tcPr>
            <w:tcW w:w="5130" w:type="dxa"/>
            <w:noWrap/>
          </w:tcPr>
          <w:p w:rsidR="00164596" w:rsidRPr="004F5426" w:rsidRDefault="00164596" w:rsidP="004A2272">
            <w:pPr>
              <w:spacing w:after="0" w:line="240" w:lineRule="auto"/>
              <w:rPr>
                <w:color w:val="000000"/>
                <w:kern w:val="0"/>
                <w:sz w:val="22"/>
                <w:szCs w:val="22"/>
              </w:rPr>
            </w:pPr>
            <w:r w:rsidRPr="004F5426">
              <w:rPr>
                <w:b/>
                <w:bCs/>
                <w:color w:val="000000"/>
                <w:kern w:val="0"/>
                <w:sz w:val="22"/>
                <w:szCs w:val="22"/>
              </w:rPr>
              <w:t>ACCESSORY</w:t>
            </w:r>
            <w:r w:rsidRPr="004F5426">
              <w:rPr>
                <w:color w:val="000000"/>
                <w:kern w:val="0"/>
                <w:sz w:val="22"/>
                <w:szCs w:val="22"/>
              </w:rPr>
              <w:t xml:space="preserve"> (Shed, garage, deck, porch, carport, soft-side pool, etc.)</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 xml:space="preserve">$50.00 </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00"/>
          <w:jc w:val="center"/>
        </w:trPr>
        <w:tc>
          <w:tcPr>
            <w:tcW w:w="5130"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Each additional Accessory</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 xml:space="preserve">$20.00 </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00"/>
          <w:jc w:val="center"/>
        </w:trPr>
        <w:tc>
          <w:tcPr>
            <w:tcW w:w="5130" w:type="dxa"/>
            <w:noWrap/>
          </w:tcPr>
          <w:p w:rsidR="00164596" w:rsidRPr="004F5426" w:rsidRDefault="00164596" w:rsidP="004A2272">
            <w:pPr>
              <w:spacing w:after="0" w:line="240" w:lineRule="auto"/>
              <w:rPr>
                <w:b/>
                <w:bCs/>
                <w:color w:val="000000"/>
                <w:kern w:val="0"/>
                <w:sz w:val="22"/>
                <w:szCs w:val="22"/>
              </w:rPr>
            </w:pPr>
            <w:r w:rsidRPr="004F5426">
              <w:rPr>
                <w:b/>
                <w:bCs/>
                <w:color w:val="000000"/>
                <w:kern w:val="0"/>
                <w:sz w:val="22"/>
                <w:szCs w:val="22"/>
              </w:rPr>
              <w:t>NON-CONFORMING USE</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 xml:space="preserve">$100.00 </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00"/>
          <w:jc w:val="center"/>
        </w:trPr>
        <w:tc>
          <w:tcPr>
            <w:tcW w:w="5130" w:type="dxa"/>
            <w:noWrap/>
          </w:tcPr>
          <w:p w:rsidR="00164596" w:rsidRPr="004F5426" w:rsidRDefault="00164596" w:rsidP="004A2272">
            <w:pPr>
              <w:spacing w:after="0" w:line="240" w:lineRule="auto"/>
              <w:rPr>
                <w:b/>
                <w:bCs/>
                <w:color w:val="000000"/>
                <w:kern w:val="0"/>
                <w:sz w:val="22"/>
                <w:szCs w:val="22"/>
              </w:rPr>
            </w:pPr>
            <w:r w:rsidRPr="004F5426">
              <w:rPr>
                <w:b/>
                <w:bCs/>
                <w:color w:val="000000"/>
                <w:kern w:val="0"/>
                <w:sz w:val="22"/>
                <w:szCs w:val="22"/>
              </w:rPr>
              <w:t>CONDITIONAL USE</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$500.00 </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00"/>
          <w:jc w:val="center"/>
        </w:trPr>
        <w:tc>
          <w:tcPr>
            <w:tcW w:w="5130" w:type="dxa"/>
            <w:noWrap/>
          </w:tcPr>
          <w:p w:rsidR="00164596" w:rsidRPr="004F5426" w:rsidRDefault="00164596" w:rsidP="004A2272">
            <w:pPr>
              <w:spacing w:after="0" w:line="240" w:lineRule="auto"/>
              <w:rPr>
                <w:b/>
                <w:bCs/>
                <w:color w:val="000000"/>
                <w:kern w:val="0"/>
                <w:sz w:val="22"/>
                <w:szCs w:val="22"/>
              </w:rPr>
            </w:pPr>
            <w:r w:rsidRPr="004F5426">
              <w:rPr>
                <w:b/>
                <w:bCs/>
                <w:color w:val="000000"/>
                <w:kern w:val="0"/>
                <w:sz w:val="22"/>
                <w:szCs w:val="22"/>
              </w:rPr>
              <w:t xml:space="preserve">SOLAR AND WIND ENERGY SYSTEM         </w:t>
            </w:r>
          </w:p>
        </w:tc>
        <w:tc>
          <w:tcPr>
            <w:tcW w:w="2250" w:type="dxa"/>
            <w:noWrap/>
          </w:tcPr>
          <w:p w:rsidR="00164596" w:rsidRPr="004F5426" w:rsidRDefault="00164596" w:rsidP="004A2272">
            <w:pPr>
              <w:spacing w:after="0" w:line="240" w:lineRule="auto"/>
              <w:rPr>
                <w:b/>
                <w:bCs/>
                <w:color w:val="000000"/>
                <w:kern w:val="0"/>
                <w:sz w:val="22"/>
                <w:szCs w:val="22"/>
              </w:rPr>
            </w:pPr>
          </w:p>
        </w:tc>
        <w:tc>
          <w:tcPr>
            <w:tcW w:w="824" w:type="dxa"/>
            <w:noWrap/>
          </w:tcPr>
          <w:p w:rsidR="00164596" w:rsidRPr="004F5426" w:rsidRDefault="00164596" w:rsidP="004A2272">
            <w:pPr>
              <w:spacing w:after="0" w:line="240" w:lineRule="auto"/>
              <w:rPr>
                <w:kern w:val="0"/>
                <w:sz w:val="22"/>
                <w:szCs w:val="22"/>
              </w:rPr>
            </w:pPr>
          </w:p>
        </w:tc>
        <w:tc>
          <w:tcPr>
            <w:tcW w:w="1394" w:type="dxa"/>
            <w:noWrap/>
          </w:tcPr>
          <w:p w:rsidR="00164596" w:rsidRPr="004F5426" w:rsidRDefault="00164596" w:rsidP="004A2272">
            <w:pPr>
              <w:spacing w:after="0" w:line="240" w:lineRule="auto"/>
              <w:jc w:val="center"/>
              <w:rPr>
                <w:kern w:val="0"/>
                <w:sz w:val="22"/>
                <w:szCs w:val="22"/>
              </w:rPr>
            </w:pPr>
          </w:p>
        </w:tc>
      </w:tr>
      <w:tr w:rsidR="00164596" w:rsidRPr="004F5426" w:rsidTr="001852BE">
        <w:trPr>
          <w:trHeight w:val="300"/>
          <w:jc w:val="center"/>
        </w:trPr>
        <w:tc>
          <w:tcPr>
            <w:tcW w:w="5130"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Up to 10 KW</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 xml:space="preserve">$200.00 </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00"/>
          <w:jc w:val="center"/>
        </w:trPr>
        <w:tc>
          <w:tcPr>
            <w:tcW w:w="5130"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11- 100 KW</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$20.00 (per each KW)</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00"/>
          <w:jc w:val="center"/>
        </w:trPr>
        <w:tc>
          <w:tcPr>
            <w:tcW w:w="5130"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101 – 500 KW</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$15.00 (per each KW)</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00"/>
          <w:jc w:val="center"/>
        </w:trPr>
        <w:tc>
          <w:tcPr>
            <w:tcW w:w="5130"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Over 500 KW</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$10.00 (per each KW)</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00"/>
          <w:jc w:val="center"/>
        </w:trPr>
        <w:tc>
          <w:tcPr>
            <w:tcW w:w="5130" w:type="dxa"/>
            <w:noWrap/>
          </w:tcPr>
          <w:p w:rsidR="00164596" w:rsidRPr="004F5426" w:rsidRDefault="00164596" w:rsidP="004A2272">
            <w:pPr>
              <w:spacing w:after="0" w:line="240" w:lineRule="auto"/>
              <w:rPr>
                <w:b/>
                <w:bCs/>
                <w:color w:val="000000"/>
                <w:kern w:val="0"/>
                <w:sz w:val="22"/>
                <w:szCs w:val="22"/>
              </w:rPr>
            </w:pPr>
            <w:r w:rsidRPr="004F5426">
              <w:rPr>
                <w:b/>
                <w:bCs/>
                <w:color w:val="000000"/>
                <w:kern w:val="0"/>
                <w:sz w:val="22"/>
                <w:szCs w:val="22"/>
              </w:rPr>
              <w:t>ADDENDUMS</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 xml:space="preserve">$40.00  </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15"/>
          <w:jc w:val="center"/>
        </w:trPr>
        <w:tc>
          <w:tcPr>
            <w:tcW w:w="5130" w:type="dxa"/>
            <w:noWrap/>
          </w:tcPr>
          <w:p w:rsidR="00164596" w:rsidRPr="004F5426" w:rsidRDefault="00164596" w:rsidP="004A2272">
            <w:pPr>
              <w:spacing w:after="0" w:line="240" w:lineRule="auto"/>
              <w:rPr>
                <w:b/>
                <w:bCs/>
                <w:color w:val="000000"/>
                <w:kern w:val="0"/>
                <w:sz w:val="22"/>
                <w:szCs w:val="22"/>
              </w:rPr>
            </w:pPr>
            <w:r w:rsidRPr="004F5426">
              <w:rPr>
                <w:b/>
                <w:bCs/>
                <w:color w:val="000000"/>
                <w:kern w:val="0"/>
                <w:sz w:val="22"/>
                <w:szCs w:val="22"/>
              </w:rPr>
              <w:t xml:space="preserve">SUBDIVISIONS </w:t>
            </w:r>
            <w:r w:rsidRPr="004F5426">
              <w:rPr>
                <w:color w:val="000000"/>
                <w:kern w:val="0"/>
                <w:sz w:val="22"/>
                <w:szCs w:val="22"/>
              </w:rPr>
              <w:t>(Approvals per lot)</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 xml:space="preserve">$50 .00 </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00"/>
          <w:jc w:val="center"/>
        </w:trPr>
        <w:tc>
          <w:tcPr>
            <w:tcW w:w="5130" w:type="dxa"/>
            <w:noWrap/>
          </w:tcPr>
          <w:p w:rsidR="00164596" w:rsidRPr="004F5426" w:rsidRDefault="00164596" w:rsidP="004A2272">
            <w:pPr>
              <w:spacing w:after="0" w:line="240" w:lineRule="auto"/>
              <w:rPr>
                <w:b/>
                <w:bCs/>
                <w:color w:val="000000"/>
                <w:kern w:val="0"/>
                <w:sz w:val="22"/>
                <w:szCs w:val="22"/>
              </w:rPr>
            </w:pPr>
            <w:r w:rsidRPr="004F5426">
              <w:rPr>
                <w:b/>
                <w:bCs/>
                <w:color w:val="000000"/>
                <w:kern w:val="0"/>
                <w:sz w:val="22"/>
                <w:szCs w:val="22"/>
              </w:rPr>
              <w:t>ZONING HEARING BOARD MATTERS</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$500.00 </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00"/>
          <w:jc w:val="center"/>
        </w:trPr>
        <w:tc>
          <w:tcPr>
            <w:tcW w:w="5130" w:type="dxa"/>
            <w:noWrap/>
          </w:tcPr>
          <w:p w:rsidR="00164596" w:rsidRPr="004F5426" w:rsidRDefault="00164596" w:rsidP="004A2272">
            <w:pPr>
              <w:spacing w:after="0" w:line="240" w:lineRule="auto"/>
              <w:rPr>
                <w:b/>
                <w:bCs/>
                <w:color w:val="000000"/>
                <w:kern w:val="0"/>
                <w:sz w:val="22"/>
                <w:szCs w:val="22"/>
              </w:rPr>
            </w:pPr>
            <w:r w:rsidRPr="004F5426">
              <w:rPr>
                <w:b/>
                <w:bCs/>
                <w:color w:val="000000"/>
                <w:kern w:val="0"/>
                <w:sz w:val="22"/>
                <w:szCs w:val="22"/>
              </w:rPr>
              <w:t>CONTINUANCE OF ZONING HEARING BOARD MATTERS</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 xml:space="preserve">$100.00 </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00"/>
          <w:jc w:val="center"/>
        </w:trPr>
        <w:tc>
          <w:tcPr>
            <w:tcW w:w="5130" w:type="dxa"/>
            <w:noWrap/>
          </w:tcPr>
          <w:p w:rsidR="00164596" w:rsidRPr="004F5426" w:rsidRDefault="00164596" w:rsidP="004A2272">
            <w:pPr>
              <w:spacing w:after="0" w:line="240" w:lineRule="auto"/>
              <w:rPr>
                <w:b/>
                <w:bCs/>
                <w:color w:val="000000"/>
                <w:kern w:val="0"/>
                <w:sz w:val="22"/>
                <w:szCs w:val="22"/>
              </w:rPr>
            </w:pPr>
            <w:r w:rsidRPr="004F5426">
              <w:rPr>
                <w:b/>
                <w:bCs/>
                <w:color w:val="000000"/>
                <w:kern w:val="0"/>
                <w:sz w:val="22"/>
                <w:szCs w:val="22"/>
              </w:rPr>
              <w:t>CURRATIVE AMENDMENT</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$250.00 </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00"/>
          <w:jc w:val="center"/>
        </w:trPr>
        <w:tc>
          <w:tcPr>
            <w:tcW w:w="5130" w:type="dxa"/>
            <w:noWrap/>
          </w:tcPr>
          <w:p w:rsidR="00164596" w:rsidRPr="004F5426" w:rsidRDefault="00164596" w:rsidP="004A2272">
            <w:pPr>
              <w:spacing w:after="0" w:line="240" w:lineRule="auto"/>
              <w:rPr>
                <w:b/>
                <w:bCs/>
                <w:color w:val="000000"/>
                <w:kern w:val="0"/>
                <w:sz w:val="22"/>
                <w:szCs w:val="22"/>
              </w:rPr>
            </w:pPr>
            <w:r w:rsidRPr="004F5426">
              <w:rPr>
                <w:b/>
                <w:bCs/>
                <w:color w:val="000000"/>
                <w:kern w:val="0"/>
                <w:sz w:val="22"/>
                <w:szCs w:val="22"/>
              </w:rPr>
              <w:t>INCOMPLETE APPLICATION</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 xml:space="preserve">$25.00 </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15"/>
          <w:jc w:val="center"/>
        </w:trPr>
        <w:tc>
          <w:tcPr>
            <w:tcW w:w="5130" w:type="dxa"/>
            <w:noWrap/>
          </w:tcPr>
          <w:p w:rsidR="00164596" w:rsidRPr="004F5426" w:rsidRDefault="00164596" w:rsidP="004A2272">
            <w:pPr>
              <w:spacing w:after="0" w:line="240" w:lineRule="auto"/>
              <w:rPr>
                <w:b/>
                <w:bCs/>
                <w:color w:val="000000"/>
                <w:kern w:val="0"/>
                <w:sz w:val="22"/>
                <w:szCs w:val="22"/>
              </w:rPr>
            </w:pPr>
            <w:r w:rsidRPr="004F5426">
              <w:rPr>
                <w:b/>
                <w:bCs/>
                <w:color w:val="000000"/>
                <w:kern w:val="0"/>
                <w:sz w:val="22"/>
                <w:szCs w:val="22"/>
              </w:rPr>
              <w:t xml:space="preserve">ZONING OFFICER </w:t>
            </w:r>
            <w:r w:rsidRPr="004F5426">
              <w:rPr>
                <w:color w:val="000000"/>
                <w:kern w:val="0"/>
                <w:sz w:val="22"/>
                <w:szCs w:val="22"/>
              </w:rPr>
              <w:t>Hourly rate beyond typical permitting</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$30.00/hr.</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$________</w:t>
            </w:r>
          </w:p>
        </w:tc>
      </w:tr>
      <w:tr w:rsidR="00164596" w:rsidRPr="004F5426" w:rsidTr="001852BE">
        <w:trPr>
          <w:trHeight w:val="315"/>
          <w:jc w:val="center"/>
        </w:trPr>
        <w:tc>
          <w:tcPr>
            <w:tcW w:w="5130" w:type="dxa"/>
            <w:noWrap/>
          </w:tcPr>
          <w:p w:rsidR="00164596" w:rsidRPr="004F5426" w:rsidRDefault="00164596" w:rsidP="004A2272">
            <w:pPr>
              <w:spacing w:after="0" w:line="240" w:lineRule="auto"/>
              <w:rPr>
                <w:b/>
                <w:bCs/>
                <w:color w:val="000000"/>
                <w:kern w:val="0"/>
                <w:sz w:val="22"/>
                <w:szCs w:val="22"/>
              </w:rPr>
            </w:pPr>
            <w:r w:rsidRPr="004F5426">
              <w:rPr>
                <w:b/>
                <w:bCs/>
                <w:color w:val="000000"/>
                <w:kern w:val="0"/>
                <w:sz w:val="22"/>
                <w:szCs w:val="22"/>
              </w:rPr>
              <w:t xml:space="preserve">CERTIFICATE OF USE </w:t>
            </w:r>
            <w:r w:rsidRPr="004F5426">
              <w:rPr>
                <w:color w:val="000000"/>
                <w:kern w:val="0"/>
                <w:sz w:val="22"/>
                <w:szCs w:val="22"/>
              </w:rPr>
              <w:t>(All issued permits)</w:t>
            </w:r>
          </w:p>
        </w:tc>
        <w:tc>
          <w:tcPr>
            <w:tcW w:w="2250"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 xml:space="preserve">$30.00 </w:t>
            </w:r>
          </w:p>
        </w:tc>
        <w:tc>
          <w:tcPr>
            <w:tcW w:w="824" w:type="dxa"/>
            <w:noWrap/>
          </w:tcPr>
          <w:p w:rsidR="00164596" w:rsidRPr="004F5426" w:rsidRDefault="00164596" w:rsidP="004A2272">
            <w:pPr>
              <w:spacing w:after="0" w:line="240" w:lineRule="auto"/>
              <w:jc w:val="center"/>
              <w:rPr>
                <w:color w:val="000000"/>
                <w:kern w:val="0"/>
                <w:sz w:val="22"/>
                <w:szCs w:val="22"/>
              </w:rPr>
            </w:pPr>
            <w:r w:rsidRPr="004F5426">
              <w:rPr>
                <w:color w:val="000000"/>
                <w:kern w:val="0"/>
                <w:sz w:val="22"/>
                <w:szCs w:val="22"/>
              </w:rPr>
              <w:t>______</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$_</w:t>
            </w:r>
            <w:r w:rsidRPr="004F5426">
              <w:rPr>
                <w:color w:val="000000"/>
                <w:kern w:val="0"/>
                <w:sz w:val="22"/>
                <w:szCs w:val="22"/>
                <w:u w:val="single"/>
              </w:rPr>
              <w:t>_30.00</w:t>
            </w:r>
            <w:r w:rsidRPr="004F5426">
              <w:rPr>
                <w:color w:val="000000"/>
                <w:kern w:val="0"/>
                <w:sz w:val="22"/>
                <w:szCs w:val="22"/>
              </w:rPr>
              <w:t>_</w:t>
            </w:r>
          </w:p>
        </w:tc>
      </w:tr>
      <w:tr w:rsidR="00164596" w:rsidRPr="004F5426" w:rsidTr="001852BE">
        <w:trPr>
          <w:trHeight w:val="300"/>
          <w:jc w:val="center"/>
        </w:trPr>
        <w:tc>
          <w:tcPr>
            <w:tcW w:w="8204" w:type="dxa"/>
            <w:gridSpan w:val="3"/>
            <w:noWrap/>
          </w:tcPr>
          <w:p w:rsidR="00164596" w:rsidRPr="004F5426" w:rsidRDefault="00164596" w:rsidP="004A2272">
            <w:pPr>
              <w:spacing w:after="0" w:line="240" w:lineRule="auto"/>
              <w:jc w:val="right"/>
              <w:rPr>
                <w:color w:val="000000"/>
                <w:kern w:val="0"/>
                <w:sz w:val="22"/>
                <w:szCs w:val="22"/>
              </w:rPr>
            </w:pPr>
            <w:r w:rsidRPr="004F5426">
              <w:rPr>
                <w:color w:val="000000"/>
                <w:kern w:val="0"/>
                <w:sz w:val="22"/>
                <w:szCs w:val="22"/>
              </w:rPr>
              <w:t xml:space="preserve">Total Fees: Payable to "Herrick Township Supervisors"  </w:t>
            </w:r>
          </w:p>
        </w:tc>
        <w:tc>
          <w:tcPr>
            <w:tcW w:w="1394" w:type="dxa"/>
            <w:noWrap/>
          </w:tcPr>
          <w:p w:rsidR="00164596" w:rsidRPr="004F5426" w:rsidRDefault="00164596" w:rsidP="004A2272">
            <w:pPr>
              <w:spacing w:after="0" w:line="240" w:lineRule="auto"/>
              <w:rPr>
                <w:color w:val="000000"/>
                <w:kern w:val="0"/>
                <w:sz w:val="22"/>
                <w:szCs w:val="22"/>
              </w:rPr>
            </w:pPr>
            <w:r w:rsidRPr="004F5426">
              <w:rPr>
                <w:color w:val="000000"/>
                <w:kern w:val="0"/>
                <w:sz w:val="22"/>
                <w:szCs w:val="22"/>
              </w:rPr>
              <w:t>$</w:t>
            </w:r>
          </w:p>
        </w:tc>
      </w:tr>
    </w:tbl>
    <w:p w:rsidR="00164596" w:rsidRPr="00DB1370" w:rsidRDefault="00164596" w:rsidP="004A2272">
      <w:pPr>
        <w:widowControl w:val="0"/>
        <w:kinsoku w:val="0"/>
        <w:overflowPunct w:val="0"/>
        <w:spacing w:after="0" w:line="240" w:lineRule="auto"/>
        <w:ind w:right="72"/>
        <w:textAlignment w:val="baseline"/>
        <w:rPr>
          <w:kern w:val="0"/>
          <w:sz w:val="22"/>
          <w:szCs w:val="22"/>
        </w:rPr>
      </w:pPr>
    </w:p>
    <w:p w:rsidR="00164596" w:rsidRPr="00DB1370" w:rsidRDefault="00164596" w:rsidP="00FD3AAB">
      <w:pPr>
        <w:widowControl w:val="0"/>
        <w:kinsoku w:val="0"/>
        <w:overflowPunct w:val="0"/>
        <w:spacing w:after="0" w:line="240" w:lineRule="auto"/>
        <w:ind w:right="72"/>
        <w:jc w:val="both"/>
        <w:textAlignment w:val="baseline"/>
        <w:rPr>
          <w:sz w:val="22"/>
          <w:szCs w:val="22"/>
        </w:rPr>
      </w:pPr>
      <w:r w:rsidRPr="00DB1370">
        <w:rPr>
          <w:kern w:val="0"/>
          <w:sz w:val="22"/>
          <w:szCs w:val="22"/>
        </w:rPr>
        <w:t>*Fees listed are typical. If additional work is required the time and costs will be billed to the applicant. Failure to pay any additional fees will stop the permitting process until all fees and costs have been collected.</w:t>
      </w:r>
      <w:r w:rsidRPr="00DB1370">
        <w:rPr>
          <w:sz w:val="22"/>
          <w:szCs w:val="22"/>
        </w:rPr>
        <w:t xml:space="preserve"> </w:t>
      </w:r>
    </w:p>
    <w:p w:rsidR="00164596" w:rsidRPr="00DB1370" w:rsidRDefault="00164596" w:rsidP="004A2272">
      <w:pPr>
        <w:widowControl w:val="0"/>
        <w:kinsoku w:val="0"/>
        <w:overflowPunct w:val="0"/>
        <w:spacing w:after="0" w:line="240" w:lineRule="auto"/>
        <w:ind w:right="72"/>
        <w:textAlignment w:val="baseline"/>
        <w:rPr>
          <w:sz w:val="22"/>
          <w:szCs w:val="22"/>
        </w:rPr>
      </w:pPr>
    </w:p>
    <w:p w:rsidR="00164596" w:rsidRPr="00DB1370" w:rsidRDefault="00164596" w:rsidP="00FD3AAB">
      <w:pPr>
        <w:widowControl w:val="0"/>
        <w:kinsoku w:val="0"/>
        <w:overflowPunct w:val="0"/>
        <w:spacing w:after="0" w:line="240" w:lineRule="auto"/>
        <w:ind w:right="72"/>
        <w:jc w:val="both"/>
        <w:textAlignment w:val="baseline"/>
        <w:rPr>
          <w:kern w:val="0"/>
          <w:sz w:val="22"/>
          <w:szCs w:val="22"/>
          <w:bdr w:val="single" w:sz="4" w:space="0" w:color="auto"/>
        </w:rPr>
      </w:pPr>
      <w:r w:rsidRPr="00DB1370">
        <w:rPr>
          <w:kern w:val="0"/>
          <w:sz w:val="22"/>
          <w:szCs w:val="22"/>
        </w:rPr>
        <w:t>Further, in the event that work has commenced prior to application for a building/zoning permit, a penalty shall be due in addition to the permit fee and equal to the amount of the appropriate fee, or $100.00, whichever is less. The imposition and collection fee, however, shall not preclude the Township from pursuing any other remedies available to it under the law in those instances where violations have occurred_ The Township shall retain all rights of enforcement as are provided under the Herrick Township Zoning Ordinance and the Pennsylvania Municipalities Planning Code.</w:t>
      </w:r>
      <w:r w:rsidRPr="00DB1370">
        <w:rPr>
          <w:kern w:val="0"/>
          <w:sz w:val="22"/>
          <w:szCs w:val="22"/>
          <w:bdr w:val="single" w:sz="4" w:space="0" w:color="auto"/>
        </w:rPr>
        <w:t xml:space="preserve"> </w:t>
      </w:r>
    </w:p>
    <w:p w:rsidR="00164596" w:rsidRPr="00DB1370" w:rsidRDefault="00164596" w:rsidP="004A2272">
      <w:pPr>
        <w:widowControl w:val="0"/>
        <w:kinsoku w:val="0"/>
        <w:overflowPunct w:val="0"/>
        <w:spacing w:after="0" w:line="240" w:lineRule="auto"/>
        <w:ind w:right="72"/>
        <w:textAlignment w:val="baseline"/>
        <w:rPr>
          <w:kern w:val="0"/>
          <w:sz w:val="22"/>
          <w:szCs w:val="22"/>
        </w:rPr>
      </w:pPr>
    </w:p>
    <w:p w:rsidR="00164596" w:rsidRPr="00DB1370" w:rsidRDefault="00164596" w:rsidP="004A2272">
      <w:pPr>
        <w:widowControl w:val="0"/>
        <w:kinsoku w:val="0"/>
        <w:overflowPunct w:val="0"/>
        <w:spacing w:after="0" w:line="240" w:lineRule="auto"/>
        <w:ind w:right="72"/>
        <w:textAlignment w:val="baseline"/>
        <w:rPr>
          <w:kern w:val="0"/>
          <w:sz w:val="22"/>
          <w:szCs w:val="22"/>
        </w:rPr>
      </w:pPr>
      <w:r w:rsidRPr="00DB1370">
        <w:rPr>
          <w:kern w:val="0"/>
          <w:sz w:val="22"/>
          <w:szCs w:val="22"/>
        </w:rPr>
        <w:t>In Witness whereof, we have hereunto set our hands and seals this ____day of ____</w:t>
      </w:r>
      <w:r w:rsidRPr="00DB1370">
        <w:rPr>
          <w:kern w:val="0"/>
          <w:sz w:val="22"/>
          <w:szCs w:val="22"/>
          <w:u w:val="single"/>
        </w:rPr>
        <w:t>,</w:t>
      </w:r>
      <w:r w:rsidRPr="00DB1370">
        <w:rPr>
          <w:kern w:val="0"/>
          <w:sz w:val="22"/>
          <w:szCs w:val="22"/>
        </w:rPr>
        <w:t xml:space="preserve"> 2025.</w:t>
      </w:r>
    </w:p>
    <w:p w:rsidR="00164596" w:rsidRDefault="00164596" w:rsidP="004A2272">
      <w:pPr>
        <w:widowControl w:val="0"/>
        <w:kinsoku w:val="0"/>
        <w:overflowPunct w:val="0"/>
        <w:spacing w:after="0" w:line="240" w:lineRule="auto"/>
        <w:ind w:right="72"/>
        <w:textAlignment w:val="baseline"/>
        <w:rPr>
          <w:kern w:val="0"/>
          <w:sz w:val="22"/>
          <w:szCs w:val="22"/>
        </w:rPr>
      </w:pPr>
    </w:p>
    <w:p w:rsidR="00164596" w:rsidRPr="00DB1370" w:rsidRDefault="00164596" w:rsidP="004A2272">
      <w:pPr>
        <w:widowControl w:val="0"/>
        <w:kinsoku w:val="0"/>
        <w:overflowPunct w:val="0"/>
        <w:spacing w:after="0" w:line="240" w:lineRule="auto"/>
        <w:ind w:right="72"/>
        <w:textAlignment w:val="baseline"/>
        <w:rPr>
          <w:kern w:val="0"/>
          <w:sz w:val="22"/>
          <w:szCs w:val="22"/>
        </w:rPr>
      </w:pPr>
    </w:p>
    <w:p w:rsidR="00164596" w:rsidRPr="00DB1370" w:rsidRDefault="00164596" w:rsidP="004A2272">
      <w:pPr>
        <w:widowControl w:val="0"/>
        <w:kinsoku w:val="0"/>
        <w:overflowPunct w:val="0"/>
        <w:spacing w:after="0" w:line="240" w:lineRule="auto"/>
        <w:ind w:right="72"/>
        <w:textAlignment w:val="baseline"/>
        <w:rPr>
          <w:kern w:val="0"/>
          <w:sz w:val="22"/>
          <w:szCs w:val="22"/>
        </w:rPr>
      </w:pPr>
      <w:r w:rsidRPr="00DB1370">
        <w:rPr>
          <w:kern w:val="0"/>
          <w:sz w:val="22"/>
          <w:szCs w:val="22"/>
        </w:rPr>
        <w:t>SEAL: _____________________________</w:t>
      </w:r>
      <w:r w:rsidRPr="00DB1370">
        <w:rPr>
          <w:kern w:val="0"/>
          <w:sz w:val="22"/>
          <w:szCs w:val="22"/>
        </w:rPr>
        <w:tab/>
      </w:r>
      <w:r w:rsidRPr="00DB1370">
        <w:rPr>
          <w:kern w:val="0"/>
          <w:sz w:val="22"/>
          <w:szCs w:val="22"/>
        </w:rPr>
        <w:tab/>
        <w:t xml:space="preserve">                        _________________________________</w:t>
      </w:r>
    </w:p>
    <w:p w:rsidR="00164596" w:rsidRPr="00DB1370" w:rsidRDefault="00164596" w:rsidP="004A2272">
      <w:pPr>
        <w:widowControl w:val="0"/>
        <w:kinsoku w:val="0"/>
        <w:overflowPunct w:val="0"/>
        <w:spacing w:after="0" w:line="240" w:lineRule="auto"/>
        <w:ind w:right="72"/>
        <w:textAlignment w:val="baseline"/>
        <w:rPr>
          <w:kern w:val="0"/>
          <w:sz w:val="22"/>
          <w:szCs w:val="22"/>
        </w:rPr>
      </w:pPr>
      <w:r w:rsidRPr="00DB1370">
        <w:rPr>
          <w:kern w:val="0"/>
          <w:sz w:val="22"/>
          <w:szCs w:val="22"/>
        </w:rPr>
        <w:t xml:space="preserve">               Nancy Harvatine, Secretary </w:t>
      </w:r>
      <w:r w:rsidRPr="00DB1370">
        <w:rPr>
          <w:kern w:val="0"/>
          <w:sz w:val="22"/>
          <w:szCs w:val="22"/>
        </w:rPr>
        <w:tab/>
      </w:r>
      <w:r w:rsidRPr="00DB1370">
        <w:rPr>
          <w:kern w:val="0"/>
          <w:sz w:val="22"/>
          <w:szCs w:val="22"/>
        </w:rPr>
        <w:tab/>
      </w:r>
      <w:r w:rsidRPr="00DB1370">
        <w:rPr>
          <w:kern w:val="0"/>
          <w:sz w:val="22"/>
          <w:szCs w:val="22"/>
        </w:rPr>
        <w:tab/>
        <w:t xml:space="preserve">Bernard J. Zembrzycki, Chairman of Board </w:t>
      </w:r>
    </w:p>
    <w:p w:rsidR="00164596" w:rsidRDefault="00164596">
      <w:pPr>
        <w:widowControl w:val="0"/>
        <w:tabs>
          <w:tab w:val="left" w:leader="underscore" w:pos="8208"/>
        </w:tabs>
        <w:kinsoku w:val="0"/>
        <w:overflowPunct w:val="0"/>
        <w:spacing w:before="96" w:after="0" w:line="386" w:lineRule="exact"/>
        <w:textAlignment w:val="baseline"/>
        <w:rPr>
          <w:rFonts w:ascii="Bookman Old Style" w:hAnsi="Bookman Old Style"/>
          <w:kern w:val="0"/>
          <w:sz w:val="21"/>
        </w:rPr>
      </w:pPr>
    </w:p>
    <w:sectPr w:rsidR="00164596" w:rsidSect="00F26D85">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596" w:rsidRDefault="00164596" w:rsidP="00DA6929">
      <w:pPr>
        <w:spacing w:after="0" w:line="240" w:lineRule="auto"/>
      </w:pPr>
      <w:r>
        <w:separator/>
      </w:r>
    </w:p>
  </w:endnote>
  <w:endnote w:type="continuationSeparator" w:id="0">
    <w:p w:rsidR="00164596" w:rsidRDefault="00164596" w:rsidP="00DA69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596" w:rsidRDefault="00164596">
      <w:pPr>
        <w:spacing w:after="0" w:line="240" w:lineRule="auto"/>
        <w:rPr>
          <w:rFonts w:ascii="Times New Roman" w:hAnsi="Times New Roman"/>
          <w:kern w:val="0"/>
        </w:rPr>
      </w:pPr>
    </w:p>
  </w:footnote>
  <w:footnote w:type="continuationSeparator" w:id="0">
    <w:p w:rsidR="00164596" w:rsidRDefault="00164596" w:rsidP="00DA69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6929"/>
    <w:rsid w:val="000204C0"/>
    <w:rsid w:val="00024C5D"/>
    <w:rsid w:val="00040514"/>
    <w:rsid w:val="000456DA"/>
    <w:rsid w:val="00054C84"/>
    <w:rsid w:val="000660E5"/>
    <w:rsid w:val="000832D8"/>
    <w:rsid w:val="000B5206"/>
    <w:rsid w:val="000D2DF3"/>
    <w:rsid w:val="000D7160"/>
    <w:rsid w:val="00101B0D"/>
    <w:rsid w:val="00123790"/>
    <w:rsid w:val="00132B26"/>
    <w:rsid w:val="00144D5F"/>
    <w:rsid w:val="00145A00"/>
    <w:rsid w:val="001540B8"/>
    <w:rsid w:val="00164596"/>
    <w:rsid w:val="001734D1"/>
    <w:rsid w:val="001852BE"/>
    <w:rsid w:val="001A1580"/>
    <w:rsid w:val="001C3B24"/>
    <w:rsid w:val="001C6C24"/>
    <w:rsid w:val="001E0A43"/>
    <w:rsid w:val="001E1CB0"/>
    <w:rsid w:val="00214054"/>
    <w:rsid w:val="00221E62"/>
    <w:rsid w:val="002240C6"/>
    <w:rsid w:val="00256442"/>
    <w:rsid w:val="002605E8"/>
    <w:rsid w:val="002A2093"/>
    <w:rsid w:val="002B4C90"/>
    <w:rsid w:val="002C0C8E"/>
    <w:rsid w:val="002C6315"/>
    <w:rsid w:val="002E2A2C"/>
    <w:rsid w:val="002E3D19"/>
    <w:rsid w:val="002E51EC"/>
    <w:rsid w:val="002F7511"/>
    <w:rsid w:val="00307372"/>
    <w:rsid w:val="003202AC"/>
    <w:rsid w:val="003274F6"/>
    <w:rsid w:val="003335A8"/>
    <w:rsid w:val="00355F1A"/>
    <w:rsid w:val="0036334D"/>
    <w:rsid w:val="00384A43"/>
    <w:rsid w:val="003C21F5"/>
    <w:rsid w:val="003D2D49"/>
    <w:rsid w:val="003E420D"/>
    <w:rsid w:val="003E64DB"/>
    <w:rsid w:val="003E68AE"/>
    <w:rsid w:val="003E7A88"/>
    <w:rsid w:val="003F3905"/>
    <w:rsid w:val="00403DB8"/>
    <w:rsid w:val="004112AB"/>
    <w:rsid w:val="00432D28"/>
    <w:rsid w:val="00444C44"/>
    <w:rsid w:val="00445355"/>
    <w:rsid w:val="004533FE"/>
    <w:rsid w:val="004578F8"/>
    <w:rsid w:val="0048165D"/>
    <w:rsid w:val="004A2272"/>
    <w:rsid w:val="004B16A1"/>
    <w:rsid w:val="004B2D1A"/>
    <w:rsid w:val="004C079B"/>
    <w:rsid w:val="004C4138"/>
    <w:rsid w:val="004E4FB4"/>
    <w:rsid w:val="004F2277"/>
    <w:rsid w:val="004F5426"/>
    <w:rsid w:val="00536B65"/>
    <w:rsid w:val="005662EA"/>
    <w:rsid w:val="005843E4"/>
    <w:rsid w:val="005859D8"/>
    <w:rsid w:val="005B16FA"/>
    <w:rsid w:val="005B5B90"/>
    <w:rsid w:val="005C39FF"/>
    <w:rsid w:val="005D5F30"/>
    <w:rsid w:val="005F688E"/>
    <w:rsid w:val="005F7C59"/>
    <w:rsid w:val="00604338"/>
    <w:rsid w:val="00676D27"/>
    <w:rsid w:val="006953F7"/>
    <w:rsid w:val="006C40ED"/>
    <w:rsid w:val="006F5419"/>
    <w:rsid w:val="00713DC4"/>
    <w:rsid w:val="00730090"/>
    <w:rsid w:val="007636FC"/>
    <w:rsid w:val="00764375"/>
    <w:rsid w:val="00765071"/>
    <w:rsid w:val="0078717E"/>
    <w:rsid w:val="00796895"/>
    <w:rsid w:val="007B4A6B"/>
    <w:rsid w:val="007C7417"/>
    <w:rsid w:val="007D3564"/>
    <w:rsid w:val="00805F6B"/>
    <w:rsid w:val="008068B0"/>
    <w:rsid w:val="00812E4D"/>
    <w:rsid w:val="00827A79"/>
    <w:rsid w:val="008403A8"/>
    <w:rsid w:val="00852D91"/>
    <w:rsid w:val="00867CA4"/>
    <w:rsid w:val="008814A9"/>
    <w:rsid w:val="008960B1"/>
    <w:rsid w:val="008B6644"/>
    <w:rsid w:val="00917312"/>
    <w:rsid w:val="00922FE8"/>
    <w:rsid w:val="00934B35"/>
    <w:rsid w:val="00934FDE"/>
    <w:rsid w:val="009522FD"/>
    <w:rsid w:val="009C5A66"/>
    <w:rsid w:val="009D35C5"/>
    <w:rsid w:val="009E24EB"/>
    <w:rsid w:val="009E2F23"/>
    <w:rsid w:val="00A23405"/>
    <w:rsid w:val="00A31120"/>
    <w:rsid w:val="00A576B7"/>
    <w:rsid w:val="00A7312A"/>
    <w:rsid w:val="00A740CD"/>
    <w:rsid w:val="00A96CF5"/>
    <w:rsid w:val="00AC6978"/>
    <w:rsid w:val="00AD7C4D"/>
    <w:rsid w:val="00AE35C1"/>
    <w:rsid w:val="00AE53D7"/>
    <w:rsid w:val="00B02C02"/>
    <w:rsid w:val="00B237E5"/>
    <w:rsid w:val="00B32584"/>
    <w:rsid w:val="00B34DDE"/>
    <w:rsid w:val="00B80489"/>
    <w:rsid w:val="00BB410F"/>
    <w:rsid w:val="00BC66D5"/>
    <w:rsid w:val="00BD0782"/>
    <w:rsid w:val="00BD2031"/>
    <w:rsid w:val="00BE633F"/>
    <w:rsid w:val="00C00CCA"/>
    <w:rsid w:val="00C12C7E"/>
    <w:rsid w:val="00C22C3B"/>
    <w:rsid w:val="00C2335A"/>
    <w:rsid w:val="00C2783A"/>
    <w:rsid w:val="00C363B8"/>
    <w:rsid w:val="00C6598D"/>
    <w:rsid w:val="00CC5944"/>
    <w:rsid w:val="00CE3907"/>
    <w:rsid w:val="00D14384"/>
    <w:rsid w:val="00D20CB9"/>
    <w:rsid w:val="00D63D6C"/>
    <w:rsid w:val="00D83B7A"/>
    <w:rsid w:val="00D8491B"/>
    <w:rsid w:val="00DA6929"/>
    <w:rsid w:val="00DB1370"/>
    <w:rsid w:val="00DB6489"/>
    <w:rsid w:val="00DC4607"/>
    <w:rsid w:val="00DE1219"/>
    <w:rsid w:val="00DE4D8D"/>
    <w:rsid w:val="00E03692"/>
    <w:rsid w:val="00E16E4B"/>
    <w:rsid w:val="00E2411F"/>
    <w:rsid w:val="00E26997"/>
    <w:rsid w:val="00E516A5"/>
    <w:rsid w:val="00E75A9D"/>
    <w:rsid w:val="00E867D1"/>
    <w:rsid w:val="00E961D7"/>
    <w:rsid w:val="00EA78EC"/>
    <w:rsid w:val="00EA7F01"/>
    <w:rsid w:val="00ED16D8"/>
    <w:rsid w:val="00ED2A46"/>
    <w:rsid w:val="00F25356"/>
    <w:rsid w:val="00F26D85"/>
    <w:rsid w:val="00F71F73"/>
    <w:rsid w:val="00F7609B"/>
    <w:rsid w:val="00F81DA9"/>
    <w:rsid w:val="00F9335A"/>
    <w:rsid w:val="00FA0806"/>
    <w:rsid w:val="00FD3AAB"/>
    <w:rsid w:val="10D05641"/>
    <w:rsid w:val="44545266"/>
    <w:rsid w:val="756F91A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Times New Roman" w:hAnsi="Apto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A43"/>
    <w:pPr>
      <w:spacing w:after="160" w:line="278" w:lineRule="auto"/>
    </w:pPr>
    <w:rPr>
      <w:kern w:val="2"/>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1E1CB0"/>
    <w:rPr>
      <w:rFonts w:cs="Times New Roman"/>
      <w:sz w:val="16"/>
      <w:szCs w:val="16"/>
    </w:rPr>
  </w:style>
  <w:style w:type="paragraph" w:styleId="CommentText">
    <w:name w:val="annotation text"/>
    <w:basedOn w:val="Normal"/>
    <w:link w:val="CommentTextChar"/>
    <w:uiPriority w:val="99"/>
    <w:rsid w:val="001E1CB0"/>
    <w:pPr>
      <w:spacing w:line="240" w:lineRule="auto"/>
    </w:pPr>
    <w:rPr>
      <w:sz w:val="20"/>
      <w:szCs w:val="20"/>
    </w:rPr>
  </w:style>
  <w:style w:type="character" w:customStyle="1" w:styleId="CommentTextChar">
    <w:name w:val="Comment Text Char"/>
    <w:basedOn w:val="DefaultParagraphFont"/>
    <w:link w:val="CommentText"/>
    <w:uiPriority w:val="99"/>
    <w:locked/>
    <w:rsid w:val="001E1CB0"/>
    <w:rPr>
      <w:rFonts w:cs="Times New Roman"/>
      <w:sz w:val="20"/>
      <w:szCs w:val="20"/>
    </w:rPr>
  </w:style>
  <w:style w:type="paragraph" w:styleId="CommentSubject">
    <w:name w:val="annotation subject"/>
    <w:basedOn w:val="CommentText"/>
    <w:next w:val="CommentText"/>
    <w:link w:val="CommentSubjectChar"/>
    <w:uiPriority w:val="99"/>
    <w:semiHidden/>
    <w:rsid w:val="001E1CB0"/>
    <w:rPr>
      <w:b/>
      <w:bCs/>
    </w:rPr>
  </w:style>
  <w:style w:type="character" w:customStyle="1" w:styleId="CommentSubjectChar">
    <w:name w:val="Comment Subject Char"/>
    <w:basedOn w:val="CommentTextChar"/>
    <w:link w:val="CommentSubject"/>
    <w:uiPriority w:val="99"/>
    <w:semiHidden/>
    <w:locked/>
    <w:rsid w:val="001E1CB0"/>
    <w:rPr>
      <w:b/>
      <w:bCs/>
    </w:rPr>
  </w:style>
  <w:style w:type="paragraph" w:styleId="Revision">
    <w:name w:val="Revision"/>
    <w:hidden/>
    <w:uiPriority w:val="99"/>
    <w:semiHidden/>
    <w:rsid w:val="00EA78EC"/>
    <w:rPr>
      <w:kern w:val="2"/>
      <w:sz w:val="24"/>
      <w:szCs w:val="24"/>
    </w:rPr>
  </w:style>
  <w:style w:type="paragraph" w:styleId="Header">
    <w:name w:val="header"/>
    <w:basedOn w:val="Normal"/>
    <w:link w:val="HeaderChar"/>
    <w:uiPriority w:val="99"/>
    <w:semiHidden/>
    <w:rsid w:val="00812E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12E4D"/>
    <w:rPr>
      <w:rFonts w:cs="Times New Roman"/>
    </w:rPr>
  </w:style>
  <w:style w:type="paragraph" w:styleId="Footer">
    <w:name w:val="footer"/>
    <w:basedOn w:val="Normal"/>
    <w:link w:val="FooterChar"/>
    <w:uiPriority w:val="99"/>
    <w:semiHidden/>
    <w:rsid w:val="00812E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812E4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411</Words>
  <Characters>2348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HERRICK TOWNSHIP BOARD OF SUPERVISORS</dc:title>
  <dc:subject/>
  <dc:creator>Jachel Everett</dc:creator>
  <cp:keywords/>
  <dc:description/>
  <cp:lastModifiedBy>Herrick Twp</cp:lastModifiedBy>
  <cp:revision>2</cp:revision>
  <dcterms:created xsi:type="dcterms:W3CDTF">2025-08-24T22:01:00Z</dcterms:created>
  <dcterms:modified xsi:type="dcterms:W3CDTF">2025-08-24T22:01:00Z</dcterms:modified>
</cp:coreProperties>
</file>